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72" w:rsidRPr="00F253C7" w:rsidRDefault="00C71572" w:rsidP="00C71572">
      <w:pPr>
        <w:rPr>
          <w:rFonts w:ascii="黑体" w:eastAsia="黑体" w:hAnsi="黑体"/>
          <w:sz w:val="36"/>
          <w:szCs w:val="36"/>
        </w:rPr>
      </w:pPr>
      <w:r w:rsidRPr="00F253C7">
        <w:rPr>
          <w:rFonts w:ascii="黑体" w:eastAsia="黑体" w:hAnsi="黑体" w:hint="eastAsia"/>
          <w:sz w:val="36"/>
          <w:szCs w:val="36"/>
        </w:rPr>
        <w:t>香河县自然资源和规划局</w:t>
      </w:r>
    </w:p>
    <w:p w:rsidR="00C71572" w:rsidRPr="00F253C7" w:rsidRDefault="00C71572" w:rsidP="00C71572">
      <w:pPr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关于</w:t>
      </w:r>
      <w:r w:rsidRPr="00F253C7">
        <w:rPr>
          <w:rFonts w:ascii="黑体" w:eastAsia="黑体" w:hAnsi="黑体" w:hint="eastAsia"/>
          <w:sz w:val="36"/>
          <w:szCs w:val="36"/>
        </w:rPr>
        <w:t>钱旺镇京哈高速与田贾庄排干渠交口西北侧地块详细规划的公示</w:t>
      </w:r>
    </w:p>
    <w:p w:rsidR="00C71572" w:rsidRDefault="00C71572" w:rsidP="00C71572">
      <w:pPr>
        <w:ind w:firstLine="560"/>
        <w:rPr>
          <w:rFonts w:hint="eastAsia"/>
        </w:rPr>
      </w:pPr>
    </w:p>
    <w:p w:rsidR="00C71572" w:rsidRPr="00F253C7" w:rsidRDefault="00C71572" w:rsidP="00C71572">
      <w:pPr>
        <w:spacing w:line="500" w:lineRule="exact"/>
        <w:ind w:firstLine="640"/>
        <w:jc w:val="left"/>
        <w:rPr>
          <w:rFonts w:ascii="仿宋_GB2312" w:eastAsia="仿宋_GB2312" w:hint="eastAsia"/>
          <w:sz w:val="32"/>
          <w:szCs w:val="32"/>
        </w:rPr>
      </w:pPr>
      <w:r w:rsidRPr="00F253C7">
        <w:rPr>
          <w:rFonts w:ascii="仿宋_GB2312" w:eastAsia="仿宋_GB2312" w:hint="eastAsia"/>
          <w:sz w:val="32"/>
          <w:szCs w:val="32"/>
        </w:rPr>
        <w:t>按照香河县政府工作安排，为保障公众在规划编制、实施过程中的知情权、参与权和监督权，推进政府公开和依法行政，提高规划的科学性、可行性和可操作性，现将《钱旺镇京哈高速与田贾庄排干渠交口西北侧地块详细规划》进行公示。</w:t>
      </w:r>
    </w:p>
    <w:p w:rsidR="00C71572" w:rsidRPr="00F253C7" w:rsidRDefault="00C71572" w:rsidP="00C71572">
      <w:pPr>
        <w:spacing w:line="500" w:lineRule="exact"/>
        <w:ind w:firstLine="643"/>
        <w:jc w:val="left"/>
        <w:rPr>
          <w:rFonts w:ascii="仿宋_GB2312" w:eastAsia="仿宋_GB2312" w:hint="eastAsia"/>
          <w:b/>
          <w:sz w:val="32"/>
          <w:szCs w:val="32"/>
        </w:rPr>
      </w:pPr>
      <w:r w:rsidRPr="00F253C7">
        <w:rPr>
          <w:rFonts w:ascii="仿宋_GB2312" w:eastAsia="仿宋_GB2312" w:hint="eastAsia"/>
          <w:b/>
          <w:sz w:val="32"/>
          <w:szCs w:val="32"/>
        </w:rPr>
        <w:t>一、公示内容</w:t>
      </w:r>
    </w:p>
    <w:p w:rsidR="00C71572" w:rsidRPr="00F253C7" w:rsidRDefault="00C71572" w:rsidP="00C71572">
      <w:pPr>
        <w:spacing w:line="500" w:lineRule="exact"/>
        <w:ind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Pr="00F253C7">
        <w:rPr>
          <w:rFonts w:ascii="仿宋_GB2312" w:eastAsia="仿宋_GB2312" w:hint="eastAsia"/>
          <w:sz w:val="32"/>
          <w:szCs w:val="32"/>
        </w:rPr>
        <w:t>项目名称：《钱旺镇京哈高速与田贾庄排干渠交口西北侧地块详细规划》。</w:t>
      </w:r>
    </w:p>
    <w:p w:rsidR="00C71572" w:rsidRPr="00F253C7" w:rsidRDefault="00C71572" w:rsidP="00C71572">
      <w:pPr>
        <w:spacing w:line="500" w:lineRule="exact"/>
        <w:ind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Pr="00F253C7">
        <w:rPr>
          <w:rFonts w:ascii="仿宋_GB2312" w:eastAsia="仿宋_GB2312" w:hint="eastAsia"/>
          <w:sz w:val="32"/>
          <w:szCs w:val="32"/>
        </w:rPr>
        <w:t>规划范围：规划地块南侧紧邻京哈高速，东侧紧邻田贾庄排干渠，规划占地面积19.14公顷。</w:t>
      </w:r>
    </w:p>
    <w:p w:rsidR="00C71572" w:rsidRPr="00F253C7" w:rsidRDefault="00C71572" w:rsidP="00C71572">
      <w:pPr>
        <w:spacing w:line="500" w:lineRule="exact"/>
        <w:ind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Pr="00F253C7">
        <w:rPr>
          <w:rFonts w:ascii="仿宋_GB2312" w:eastAsia="仿宋_GB2312" w:hint="eastAsia"/>
          <w:sz w:val="32"/>
          <w:szCs w:val="32"/>
        </w:rPr>
        <w:t>规划内容：本次规划地块用地性质为供电用地、供热用地（1303、1305）。</w:t>
      </w:r>
    </w:p>
    <w:p w:rsidR="00C71572" w:rsidRPr="00F253C7" w:rsidRDefault="00C71572" w:rsidP="00C71572">
      <w:pPr>
        <w:ind w:firstLine="560"/>
        <w:jc w:val="left"/>
        <w:rPr>
          <w:rFonts w:ascii="黑体" w:eastAsia="黑体" w:hAnsi="黑体"/>
        </w:rPr>
      </w:pPr>
      <w:r w:rsidRPr="00F253C7">
        <w:rPr>
          <w:rFonts w:ascii="黑体" w:eastAsia="黑体" w:hAnsi="黑体" w:hint="eastAsia"/>
        </w:rPr>
        <w:t>表1 地块规划用地统计表</w:t>
      </w:r>
    </w:p>
    <w:tbl>
      <w:tblPr>
        <w:tblW w:w="8198" w:type="dxa"/>
        <w:tblInd w:w="93" w:type="dxa"/>
        <w:tblLayout w:type="fixed"/>
        <w:tblLook w:val="04A0"/>
      </w:tblPr>
      <w:tblGrid>
        <w:gridCol w:w="1335"/>
        <w:gridCol w:w="1625"/>
        <w:gridCol w:w="1343"/>
        <w:gridCol w:w="1412"/>
        <w:gridCol w:w="2483"/>
      </w:tblGrid>
      <w:tr w:rsidR="00C71572" w:rsidTr="0005755C">
        <w:trPr>
          <w:trHeight w:val="500"/>
        </w:trPr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572" w:rsidRPr="00C71572" w:rsidRDefault="00C71572" w:rsidP="00C71572">
            <w:pPr>
              <w:ind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C71572">
              <w:rPr>
                <w:rFonts w:hint="eastAsia"/>
                <w:kern w:val="0"/>
                <w:sz w:val="21"/>
                <w:szCs w:val="21"/>
                <w:lang/>
              </w:rPr>
              <w:t>用地代码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572" w:rsidRPr="00C71572" w:rsidRDefault="00C71572" w:rsidP="00C71572">
            <w:pPr>
              <w:ind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C71572">
              <w:rPr>
                <w:rFonts w:hint="eastAsia"/>
                <w:kern w:val="0"/>
                <w:sz w:val="21"/>
                <w:szCs w:val="21"/>
                <w:lang/>
              </w:rPr>
              <w:t>用地名称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572" w:rsidRPr="00C71572" w:rsidRDefault="00C71572" w:rsidP="00C71572">
            <w:pPr>
              <w:ind w:firstLine="420"/>
              <w:jc w:val="left"/>
              <w:rPr>
                <w:kern w:val="0"/>
                <w:sz w:val="21"/>
                <w:szCs w:val="21"/>
                <w:lang/>
              </w:rPr>
            </w:pPr>
            <w:r w:rsidRPr="00C71572">
              <w:rPr>
                <w:rFonts w:hint="eastAsia"/>
                <w:kern w:val="0"/>
                <w:sz w:val="21"/>
                <w:szCs w:val="21"/>
                <w:lang/>
              </w:rPr>
              <w:t>用地面积</w:t>
            </w:r>
          </w:p>
          <w:p w:rsidR="00C71572" w:rsidRPr="00C71572" w:rsidRDefault="00C71572" w:rsidP="00C71572">
            <w:pPr>
              <w:ind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C71572">
              <w:rPr>
                <w:rFonts w:hint="eastAsia"/>
                <w:kern w:val="0"/>
                <w:sz w:val="21"/>
                <w:szCs w:val="21"/>
                <w:lang/>
              </w:rPr>
              <w:t>（公顷）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572" w:rsidRPr="00C71572" w:rsidRDefault="00C71572" w:rsidP="00C71572">
            <w:pPr>
              <w:ind w:firstLine="420"/>
              <w:jc w:val="left"/>
              <w:rPr>
                <w:kern w:val="0"/>
                <w:sz w:val="21"/>
                <w:szCs w:val="21"/>
                <w:lang/>
              </w:rPr>
            </w:pPr>
            <w:r w:rsidRPr="00C71572">
              <w:rPr>
                <w:rFonts w:hint="eastAsia"/>
                <w:kern w:val="0"/>
                <w:sz w:val="21"/>
                <w:szCs w:val="21"/>
                <w:lang/>
              </w:rPr>
              <w:t>占城市建设用地比例</w:t>
            </w:r>
          </w:p>
          <w:p w:rsidR="00C71572" w:rsidRPr="00C71572" w:rsidRDefault="00C71572" w:rsidP="00C71572">
            <w:pPr>
              <w:ind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C71572">
              <w:rPr>
                <w:rFonts w:hint="eastAsia"/>
                <w:kern w:val="0"/>
                <w:sz w:val="21"/>
                <w:szCs w:val="21"/>
                <w:lang/>
              </w:rPr>
              <w:t>（</w:t>
            </w:r>
            <w:r w:rsidRPr="00C71572">
              <w:rPr>
                <w:rFonts w:hint="eastAsia"/>
                <w:kern w:val="0"/>
                <w:sz w:val="21"/>
                <w:szCs w:val="21"/>
                <w:lang/>
              </w:rPr>
              <w:t>%</w:t>
            </w:r>
            <w:r w:rsidRPr="00C71572">
              <w:rPr>
                <w:rFonts w:hint="eastAsia"/>
                <w:kern w:val="0"/>
                <w:sz w:val="21"/>
                <w:szCs w:val="21"/>
                <w:lang/>
              </w:rPr>
              <w:t>）</w:t>
            </w:r>
          </w:p>
        </w:tc>
      </w:tr>
      <w:tr w:rsidR="00C71572" w:rsidTr="0005755C">
        <w:trPr>
          <w:trHeight w:val="50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572" w:rsidRPr="00C71572" w:rsidRDefault="00C71572" w:rsidP="00C71572">
            <w:pPr>
              <w:ind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C71572">
              <w:rPr>
                <w:rFonts w:hint="eastAsia"/>
                <w:kern w:val="0"/>
                <w:sz w:val="21"/>
                <w:szCs w:val="21"/>
                <w:lang/>
              </w:rPr>
              <w:t>一级类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572" w:rsidRPr="00C71572" w:rsidRDefault="00C71572" w:rsidP="00C71572">
            <w:pPr>
              <w:ind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C71572">
              <w:rPr>
                <w:rFonts w:hint="eastAsia"/>
                <w:kern w:val="0"/>
                <w:sz w:val="21"/>
                <w:szCs w:val="21"/>
                <w:lang/>
              </w:rPr>
              <w:t>二级类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572" w:rsidRPr="00C71572" w:rsidRDefault="00C71572" w:rsidP="00C71572">
            <w:pPr>
              <w:ind w:firstLine="420"/>
              <w:jc w:val="left"/>
              <w:rPr>
                <w:sz w:val="21"/>
                <w:szCs w:val="21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572" w:rsidRPr="00C71572" w:rsidRDefault="00C71572" w:rsidP="00C71572">
            <w:pPr>
              <w:ind w:firstLine="420"/>
              <w:jc w:val="left"/>
              <w:rPr>
                <w:sz w:val="21"/>
                <w:szCs w:val="21"/>
              </w:rPr>
            </w:pP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572" w:rsidRPr="00C71572" w:rsidRDefault="00C71572" w:rsidP="00C71572">
            <w:pPr>
              <w:ind w:firstLine="420"/>
              <w:jc w:val="left"/>
              <w:rPr>
                <w:sz w:val="21"/>
                <w:szCs w:val="21"/>
              </w:rPr>
            </w:pPr>
          </w:p>
        </w:tc>
      </w:tr>
      <w:tr w:rsidR="00C71572" w:rsidTr="0005755C">
        <w:trPr>
          <w:trHeight w:val="500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572" w:rsidRPr="00C71572" w:rsidRDefault="00C71572" w:rsidP="00C71572">
            <w:pPr>
              <w:ind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C71572">
              <w:rPr>
                <w:rFonts w:hint="eastAsia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572" w:rsidRPr="00C71572" w:rsidRDefault="00C71572" w:rsidP="00C71572">
            <w:pPr>
              <w:ind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C71572">
              <w:rPr>
                <w:rFonts w:hint="eastAsia"/>
                <w:kern w:val="0"/>
                <w:sz w:val="21"/>
                <w:szCs w:val="21"/>
                <w:lang/>
              </w:rPr>
              <w:t>公用设施用地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572" w:rsidRPr="00C71572" w:rsidRDefault="00C71572" w:rsidP="00C71572">
            <w:pPr>
              <w:ind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C71572">
              <w:rPr>
                <w:rFonts w:hint="eastAsia"/>
                <w:kern w:val="0"/>
                <w:sz w:val="21"/>
                <w:szCs w:val="21"/>
                <w:lang/>
              </w:rPr>
              <w:t>19.14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572" w:rsidRPr="00C71572" w:rsidRDefault="00C71572" w:rsidP="00C71572">
            <w:pPr>
              <w:ind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C71572">
              <w:rPr>
                <w:rFonts w:hint="eastAsia"/>
                <w:kern w:val="0"/>
                <w:sz w:val="21"/>
                <w:szCs w:val="21"/>
                <w:lang/>
              </w:rPr>
              <w:t>100</w:t>
            </w:r>
          </w:p>
        </w:tc>
      </w:tr>
      <w:tr w:rsidR="00C71572" w:rsidTr="0005755C">
        <w:trPr>
          <w:trHeight w:val="500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572" w:rsidRPr="00C71572" w:rsidRDefault="00C71572" w:rsidP="00C71572">
            <w:pPr>
              <w:ind w:firstLine="420"/>
              <w:jc w:val="left"/>
              <w:rPr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572" w:rsidRPr="00C71572" w:rsidRDefault="00C71572" w:rsidP="00C71572">
            <w:pPr>
              <w:ind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C71572">
              <w:rPr>
                <w:rFonts w:hint="eastAsia"/>
                <w:kern w:val="0"/>
                <w:sz w:val="21"/>
                <w:szCs w:val="21"/>
                <w:lang/>
              </w:rPr>
              <w:t>1303</w:t>
            </w:r>
            <w:r w:rsidRPr="00C71572">
              <w:rPr>
                <w:rFonts w:hint="eastAsia"/>
                <w:kern w:val="0"/>
                <w:sz w:val="21"/>
                <w:szCs w:val="21"/>
                <w:lang/>
              </w:rPr>
              <w:t>、</w:t>
            </w:r>
            <w:r w:rsidRPr="00C71572">
              <w:rPr>
                <w:rFonts w:hint="eastAsia"/>
                <w:kern w:val="0"/>
                <w:sz w:val="21"/>
                <w:szCs w:val="21"/>
                <w:lang/>
              </w:rPr>
              <w:t>1305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572" w:rsidRPr="00C71572" w:rsidRDefault="00C71572" w:rsidP="00C71572">
            <w:pPr>
              <w:ind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C71572">
              <w:rPr>
                <w:rFonts w:hint="eastAsia"/>
                <w:kern w:val="0"/>
                <w:sz w:val="21"/>
                <w:szCs w:val="21"/>
                <w:lang/>
              </w:rPr>
              <w:t>供电用地、供热用地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572" w:rsidRPr="00C71572" w:rsidRDefault="00C71572" w:rsidP="00C71572">
            <w:pPr>
              <w:ind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C71572">
              <w:rPr>
                <w:rFonts w:hint="eastAsia"/>
                <w:kern w:val="0"/>
                <w:sz w:val="21"/>
                <w:szCs w:val="21"/>
                <w:lang/>
              </w:rPr>
              <w:t>19.14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572" w:rsidRPr="00C71572" w:rsidRDefault="00C71572" w:rsidP="00C71572">
            <w:pPr>
              <w:ind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C71572">
              <w:rPr>
                <w:rFonts w:hint="eastAsia"/>
                <w:kern w:val="0"/>
                <w:sz w:val="21"/>
                <w:szCs w:val="21"/>
                <w:lang/>
              </w:rPr>
              <w:t>100</w:t>
            </w:r>
          </w:p>
        </w:tc>
      </w:tr>
      <w:tr w:rsidR="00C71572" w:rsidTr="0005755C">
        <w:trPr>
          <w:trHeight w:val="510"/>
        </w:trPr>
        <w:tc>
          <w:tcPr>
            <w:tcW w:w="4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572" w:rsidRPr="00C71572" w:rsidRDefault="00C71572" w:rsidP="00C71572">
            <w:pPr>
              <w:ind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C71572">
              <w:rPr>
                <w:rFonts w:hint="eastAsia"/>
                <w:kern w:val="0"/>
                <w:sz w:val="21"/>
                <w:szCs w:val="21"/>
                <w:lang/>
              </w:rPr>
              <w:t>合计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572" w:rsidRPr="00C71572" w:rsidRDefault="00C71572" w:rsidP="00C71572">
            <w:pPr>
              <w:ind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C71572">
              <w:rPr>
                <w:rFonts w:hint="eastAsia"/>
                <w:kern w:val="0"/>
                <w:sz w:val="21"/>
                <w:szCs w:val="21"/>
                <w:lang/>
              </w:rPr>
              <w:t>19.14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572" w:rsidRPr="00C71572" w:rsidRDefault="00C71572" w:rsidP="00C71572">
            <w:pPr>
              <w:ind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C71572">
              <w:rPr>
                <w:rFonts w:hint="eastAsia"/>
                <w:kern w:val="0"/>
                <w:sz w:val="21"/>
                <w:szCs w:val="21"/>
                <w:lang/>
              </w:rPr>
              <w:t>100</w:t>
            </w:r>
          </w:p>
        </w:tc>
      </w:tr>
    </w:tbl>
    <w:p w:rsidR="00C71572" w:rsidRDefault="00C71572" w:rsidP="00C71572">
      <w:pPr>
        <w:ind w:firstLine="560"/>
        <w:jc w:val="left"/>
      </w:pPr>
      <w:bookmarkStart w:id="0" w:name="_GoBack"/>
      <w:r>
        <w:rPr>
          <w:noProof/>
        </w:rPr>
        <w:lastRenderedPageBreak/>
        <w:drawing>
          <wp:inline distT="0" distB="0" distL="114300" distR="114300">
            <wp:extent cx="5270500" cy="5264150"/>
            <wp:effectExtent l="0" t="0" r="2540" b="8890"/>
            <wp:docPr id="1" name="图片 1" descr="826845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26845010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6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1572" w:rsidRDefault="00C71572" w:rsidP="00C71572">
      <w:pPr>
        <w:ind w:firstLine="560"/>
        <w:jc w:val="left"/>
      </w:pPr>
      <w:r>
        <w:rPr>
          <w:rFonts w:hint="eastAsia"/>
        </w:rPr>
        <w:t>图</w:t>
      </w:r>
      <w:r>
        <w:rPr>
          <w:rFonts w:hint="eastAsia"/>
        </w:rPr>
        <w:t xml:space="preserve">1 </w:t>
      </w:r>
      <w:r>
        <w:rPr>
          <w:rFonts w:hint="eastAsia"/>
        </w:rPr>
        <w:t>地块土地利用规划图</w:t>
      </w:r>
    </w:p>
    <w:p w:rsidR="00C71572" w:rsidRPr="00186A2B" w:rsidRDefault="00C71572" w:rsidP="00C71572">
      <w:pPr>
        <w:ind w:firstLine="643"/>
        <w:jc w:val="left"/>
        <w:rPr>
          <w:b/>
          <w:sz w:val="32"/>
          <w:szCs w:val="32"/>
        </w:rPr>
      </w:pPr>
      <w:r w:rsidRPr="00186A2B">
        <w:rPr>
          <w:rFonts w:hint="eastAsia"/>
          <w:b/>
          <w:sz w:val="32"/>
          <w:szCs w:val="32"/>
        </w:rPr>
        <w:t>二、公示方式</w:t>
      </w:r>
    </w:p>
    <w:p w:rsidR="00C71572" w:rsidRPr="00C67F05" w:rsidRDefault="00C71572" w:rsidP="00C71572">
      <w:pPr>
        <w:ind w:firstLine="640"/>
        <w:jc w:val="left"/>
        <w:rPr>
          <w:sz w:val="32"/>
          <w:szCs w:val="32"/>
        </w:rPr>
      </w:pPr>
      <w:r w:rsidRPr="00C67F05">
        <w:rPr>
          <w:rFonts w:hint="eastAsia"/>
          <w:sz w:val="32"/>
          <w:szCs w:val="32"/>
        </w:rPr>
        <w:t>香河政府信息公开平台、香河县自然资源和规划局微信公众号和地块现场公示。</w:t>
      </w:r>
    </w:p>
    <w:p w:rsidR="00C71572" w:rsidRPr="00186A2B" w:rsidRDefault="00C71572" w:rsidP="00C71572">
      <w:pPr>
        <w:ind w:firstLine="643"/>
        <w:jc w:val="left"/>
        <w:rPr>
          <w:b/>
          <w:sz w:val="32"/>
          <w:szCs w:val="32"/>
        </w:rPr>
      </w:pPr>
      <w:r w:rsidRPr="00186A2B">
        <w:rPr>
          <w:rFonts w:hint="eastAsia"/>
          <w:b/>
          <w:sz w:val="32"/>
          <w:szCs w:val="32"/>
        </w:rPr>
        <w:t>三、公示时间</w:t>
      </w:r>
    </w:p>
    <w:p w:rsidR="00C71572" w:rsidRPr="00C67F05" w:rsidRDefault="00C71572" w:rsidP="00C71572">
      <w:pPr>
        <w:ind w:firstLine="640"/>
        <w:jc w:val="left"/>
        <w:rPr>
          <w:sz w:val="32"/>
          <w:szCs w:val="32"/>
        </w:rPr>
      </w:pPr>
      <w:r w:rsidRPr="00C67F05">
        <w:rPr>
          <w:rFonts w:hint="eastAsia"/>
          <w:sz w:val="32"/>
          <w:szCs w:val="32"/>
        </w:rPr>
        <w:t>自发布之日起</w:t>
      </w:r>
      <w:r w:rsidRPr="00C67F05">
        <w:rPr>
          <w:rFonts w:hint="eastAsia"/>
          <w:sz w:val="32"/>
          <w:szCs w:val="32"/>
        </w:rPr>
        <w:t>30</w:t>
      </w:r>
      <w:r w:rsidRPr="00C67F05">
        <w:rPr>
          <w:rFonts w:hint="eastAsia"/>
          <w:sz w:val="32"/>
          <w:szCs w:val="32"/>
        </w:rPr>
        <w:t>日。</w:t>
      </w:r>
    </w:p>
    <w:p w:rsidR="00C71572" w:rsidRPr="00186A2B" w:rsidRDefault="00C71572" w:rsidP="00C71572">
      <w:pPr>
        <w:ind w:firstLine="643"/>
        <w:jc w:val="left"/>
        <w:rPr>
          <w:b/>
          <w:sz w:val="32"/>
          <w:szCs w:val="32"/>
        </w:rPr>
      </w:pPr>
      <w:r w:rsidRPr="00186A2B">
        <w:rPr>
          <w:rFonts w:hint="eastAsia"/>
          <w:b/>
          <w:sz w:val="32"/>
          <w:szCs w:val="32"/>
        </w:rPr>
        <w:t>四、反馈方式</w:t>
      </w:r>
    </w:p>
    <w:p w:rsidR="00C71572" w:rsidRPr="00186A2B" w:rsidRDefault="00C71572" w:rsidP="00C71572">
      <w:pPr>
        <w:ind w:firstLine="640"/>
        <w:jc w:val="left"/>
        <w:rPr>
          <w:sz w:val="32"/>
          <w:szCs w:val="32"/>
        </w:rPr>
      </w:pPr>
      <w:r w:rsidRPr="00C67F05">
        <w:rPr>
          <w:rFonts w:hint="eastAsia"/>
          <w:sz w:val="32"/>
          <w:szCs w:val="32"/>
        </w:rPr>
        <w:t>公示期间，若有意见，请直接向我单位提交书面反馈意见，于公示期间送至香河县自然资源和规划局城市规划设计</w:t>
      </w:r>
      <w:r w:rsidRPr="00C67F05">
        <w:rPr>
          <w:rFonts w:hint="eastAsia"/>
          <w:sz w:val="32"/>
          <w:szCs w:val="32"/>
        </w:rPr>
        <w:lastRenderedPageBreak/>
        <w:t>股，直接向我单位反馈意见的个人，应签署真实姓名、住址及联系方式；反馈意见的单位应加盖单位公章，注明联系人及联系方式，</w:t>
      </w:r>
      <w:r w:rsidRPr="00186A2B">
        <w:rPr>
          <w:rFonts w:hint="eastAsia"/>
          <w:sz w:val="32"/>
          <w:szCs w:val="32"/>
        </w:rPr>
        <w:t>逾期不提交的，视为没有意见。在公示期满后，我局将依法按程序进行办理。</w:t>
      </w:r>
    </w:p>
    <w:p w:rsidR="00C71572" w:rsidRPr="00186A2B" w:rsidRDefault="00C71572" w:rsidP="00C71572">
      <w:pPr>
        <w:ind w:firstLine="643"/>
        <w:jc w:val="left"/>
        <w:rPr>
          <w:b/>
          <w:sz w:val="32"/>
          <w:szCs w:val="32"/>
        </w:rPr>
      </w:pPr>
      <w:r w:rsidRPr="00186A2B">
        <w:rPr>
          <w:rFonts w:hint="eastAsia"/>
          <w:b/>
          <w:sz w:val="32"/>
          <w:szCs w:val="32"/>
        </w:rPr>
        <w:t>五、咨询电话</w:t>
      </w:r>
    </w:p>
    <w:p w:rsidR="00C71572" w:rsidRPr="00186A2B" w:rsidRDefault="00C71572" w:rsidP="00C71572">
      <w:pPr>
        <w:ind w:leftChars="200" w:left="560" w:firstLineChars="0" w:firstLine="0"/>
        <w:jc w:val="left"/>
        <w:rPr>
          <w:sz w:val="32"/>
          <w:szCs w:val="32"/>
        </w:rPr>
      </w:pPr>
      <w:r w:rsidRPr="00186A2B">
        <w:rPr>
          <w:rFonts w:hint="eastAsia"/>
          <w:sz w:val="32"/>
          <w:szCs w:val="32"/>
        </w:rPr>
        <w:t>联系电话：</w:t>
      </w:r>
      <w:r w:rsidRPr="00186A2B">
        <w:rPr>
          <w:rFonts w:hint="eastAsia"/>
          <w:sz w:val="32"/>
          <w:szCs w:val="32"/>
        </w:rPr>
        <w:t>0316</w:t>
      </w:r>
      <w:r w:rsidRPr="00186A2B">
        <w:rPr>
          <w:rFonts w:hint="eastAsia"/>
          <w:sz w:val="32"/>
          <w:szCs w:val="32"/>
        </w:rPr>
        <w:t>—</w:t>
      </w:r>
      <w:r w:rsidRPr="00186A2B">
        <w:rPr>
          <w:rFonts w:hint="eastAsia"/>
          <w:sz w:val="32"/>
          <w:szCs w:val="32"/>
        </w:rPr>
        <w:t>8313039</w:t>
      </w:r>
    </w:p>
    <w:p w:rsidR="00C71572" w:rsidRPr="00186A2B" w:rsidRDefault="00C71572" w:rsidP="00C71572">
      <w:pPr>
        <w:ind w:leftChars="200" w:left="560" w:firstLineChars="0" w:firstLine="0"/>
        <w:jc w:val="left"/>
        <w:rPr>
          <w:sz w:val="32"/>
          <w:szCs w:val="32"/>
        </w:rPr>
      </w:pPr>
      <w:r w:rsidRPr="00186A2B">
        <w:rPr>
          <w:rFonts w:hint="eastAsia"/>
          <w:sz w:val="32"/>
          <w:szCs w:val="32"/>
        </w:rPr>
        <w:t xml:space="preserve">                              202</w:t>
      </w:r>
      <w:r>
        <w:rPr>
          <w:rFonts w:hint="eastAsia"/>
          <w:sz w:val="32"/>
          <w:szCs w:val="32"/>
        </w:rPr>
        <w:t>4</w:t>
      </w:r>
      <w:r w:rsidRPr="00186A2B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 w:rsidRPr="00186A2B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7</w:t>
      </w:r>
      <w:r w:rsidRPr="00186A2B">
        <w:rPr>
          <w:rFonts w:hint="eastAsia"/>
          <w:sz w:val="32"/>
          <w:szCs w:val="32"/>
        </w:rPr>
        <w:t>日</w:t>
      </w:r>
    </w:p>
    <w:p w:rsidR="00350E52" w:rsidRPr="00C71572" w:rsidRDefault="00C71572" w:rsidP="00C71572">
      <w:pPr>
        <w:ind w:firstLine="640"/>
        <w:jc w:val="left"/>
        <w:rPr>
          <w:rFonts w:ascii="仿宋_GB2312" w:eastAsia="仿宋_GB2312"/>
          <w:sz w:val="32"/>
          <w:szCs w:val="32"/>
        </w:rPr>
      </w:pPr>
    </w:p>
    <w:sectPr w:rsidR="00350E52" w:rsidRPr="00C71572" w:rsidSect="00F8019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C7" w:rsidRDefault="00C71572" w:rsidP="00F253C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C7" w:rsidRDefault="00C71572" w:rsidP="00F253C7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C7" w:rsidRDefault="00C71572" w:rsidP="00F253C7">
    <w:pPr>
      <w:pStyle w:val="a4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C7" w:rsidRDefault="00C71572" w:rsidP="00F253C7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C7" w:rsidRDefault="00C71572" w:rsidP="00F253C7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C7" w:rsidRDefault="00C71572" w:rsidP="00F253C7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1572"/>
    <w:rsid w:val="0049385E"/>
    <w:rsid w:val="00C71572"/>
    <w:rsid w:val="00C761C3"/>
    <w:rsid w:val="00D7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71572"/>
    <w:pPr>
      <w:widowControl w:val="0"/>
      <w:spacing w:line="360" w:lineRule="auto"/>
      <w:ind w:firstLineChars="200" w:firstLine="720"/>
      <w:jc w:val="center"/>
    </w:pPr>
    <w:rPr>
      <w:rFonts w:ascii="Calibri" w:eastAsia="仿宋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1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1572"/>
    <w:rPr>
      <w:rFonts w:ascii="Calibri" w:eastAsia="仿宋" w:hAnsi="Calibri" w:cs="Times New Roman"/>
      <w:sz w:val="18"/>
      <w:szCs w:val="18"/>
    </w:rPr>
  </w:style>
  <w:style w:type="paragraph" w:styleId="a4">
    <w:name w:val="footer"/>
    <w:basedOn w:val="a"/>
    <w:link w:val="Char0"/>
    <w:rsid w:val="00C7157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1572"/>
    <w:rPr>
      <w:rFonts w:ascii="Calibri" w:eastAsia="仿宋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157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1572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2024-03-06T07:36:00Z</dcterms:created>
  <dcterms:modified xsi:type="dcterms:W3CDTF">2024-03-06T07:40:00Z</dcterms:modified>
</cp:coreProperties>
</file>